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2007/90 vom 11. Dezember 2007</w:t>
      </w:r>
    </w:p>
    <w:p>
      <w:r>
        <w:t>Sg Versicherungsgericht, 2007-12-11, DE</w:t>
      </w:r>
    </w:p>
    <w:p>
      <w:r>
        <w:rPr>
          <w:b/>
        </w:rPr>
        <w:t xml:space="preserve">Quelle: </w:t>
      </w:r>
      <w:r>
        <w:t>https://mcp.opencaselaw.ch/entscheid/sg_publikationen_UV 2007_90</w:t>
      </w:r>
    </w:p>
    <w:p>
      <w:r>
        <w:t>FR: SG_VERSICHERUNGSGERICHT UV 2007/90 du 11 décembre 2007</w:t>
      </w:r>
    </w:p>
    <w:p>
      <w:r>
        <w:t>IT: SG_VERSICHERUNGSGERICHT UV 2007/90 del 11 dicembre 2007</w:t>
      </w:r>
    </w:p>
    <w:p>
      <w:pPr>
        <w:pStyle w:val="Heading2"/>
      </w:pPr>
      <w:r>
        <w:t>Regeste</w:t>
      </w:r>
    </w:p>
    <w:p>
      <w:r>
        <w:t>Art. 4 ATSG, Art. 6 UVG, Art. 9 UVV. Unfallgeschehen nicht genügend glaubhaft gemacht (Entscheid des Versicherungsgerichts des Kantons St. Gallen vom 11. Dezember 2007, UV 2007/90).</w:t>
      </w:r>
    </w:p>
    <w:p>
      <w:pPr>
        <w:pStyle w:val="Heading2"/>
      </w:pPr>
      <w:r>
        <w:t>Erwägungen</w:t>
      </w:r>
    </w:p>
    <w:p>
      <w:r>
        <w:rPr>
          <w:b/>
        </w:rPr>
        <w:t>E. 1</w:t>
      </w:r>
    </w:p>
    <w:p>
      <w:r>
        <w:t>Strittig und zu prüfen ist, ob das Geschehen vom 21. Juli 2006 einen Unfall im Rechtsinn darstellt und - verneinendenfalls - ob es sich dabei um eine unfallähnliche Körperschädigung handelt. Die Beschwerdegegnerin verneint sowohl das Vorliegen eines Unfalls wie auch einer unfallähnlichen Körperschädigung.</w:t>
      </w:r>
    </w:p>
    <w:p>
      <w:r>
        <w:rPr>
          <w:b/>
        </w:rPr>
        <w:t>E. 2.1</w:t>
      </w:r>
    </w:p>
    <w:p>
      <w:r>
        <w:t>Nach Art. 6 des Bundesgesetzes über die Unfallversicherung (UVG; SR 832.20) werden die Versicherungsleistungen, soweit das Gesetz nichts anderes bestimmt, bei Berufsunfällen, Nichtberufsunfällen und Berufskrankheiten gewährt. Unfall ist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Abwehrhaltung ausführt oder auszuführen versucht (RKUV 2004 Nr. U 502 S. 183 E. 4.1). Der Bundesrat kann sodann Körperschädigungen, die den Folgen eines Unfalls ähnlich sind, in die Versicherung einbeziehen (Art. 6 Abs. 2 UVG). In Art. 9 Abs. 2 der Verordnung über die Unfallversicherung (UVV; SR 832.202) hat er in einer abschliessenden Aufzählung folgende Körperschäden auch ohne ungewöhnliche äussere Einwirkung den Unfällen gleichgestellt, sofern sie nicht eindeutig auf eine Erkrankung oder eine Degeneration zurückzuführen sind: Knochenbrüche, Verrenkungen von Gelenken, Meniskusrisse, Muskelrisse, Muskelzerrungen, Sehnenrisse, Bandläsionen sowie Trommelfellverletzungen.</w:t>
      </w:r>
    </w:p>
    <w:p>
      <w:r>
        <w:rPr>
          <w:b/>
        </w:rPr>
        <w:t>E. 2.2</w:t>
      </w:r>
    </w:p>
    <w:p>
      <w:r>
        <w:t>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Praxisgemäss muss sie die einzelnen Umstände des Unfalls glaubhaft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Der Untersuchungsmaxime entsprechend hat es von Amtes wegen die notwendigen Beweise zu erheben und kann es zu diesem Zweck auch die Parteien heranziehen. Wird auf Grund dieser Massnahmen das Vorliegen eines Unfallereignisses nicht wenigstens mit Wahrscheinlichkeit erstellt - die blosse Möglichkeit genügt für die Begründung eines Leistungsanspruchs nicht -, so hat dieses als unbewiesen zu gelten, was sich zu Lasten der den Anspruch erhebenden Person auswirkt (BGE 116 V 140 E. 4b, 114 V 305 E. 2b; RKUV 1990 Nr. U 86 S. 50).</w:t>
      </w:r>
    </w:p>
    <w:p>
      <w:r>
        <w:rPr>
          <w:b/>
        </w:rPr>
        <w:t>E. 2.3</w:t>
      </w:r>
    </w:p>
    <w:p>
      <w:r>
        <w:t>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w:t>
      </w:r>
    </w:p>
    <w:p>
      <w:r>
        <w:rPr>
          <w:b/>
        </w:rPr>
        <w:t>E. 3.1</w:t>
      </w:r>
    </w:p>
    <w:p>
      <w:r>
        <w:t>Wer vom Versicherer Leistungen beanspruchen will, hat also eine plausible und überzeugende Schilderung des Unfallhergangs zu liefern. Blosse Vermutungen genügen nicht. Ebensowenig kann der Versicherer gezwungen werden, die Angaben der versicherten Person bedingungslos anzuerkennen. Sind ihre Angaben ungenau oder gar widersprüchlich oder vermag sie das Unfallgeschehen nicht überzeugend darzutun, so erscheint das Vorliegen eines Unfalls nicht glaubhaft. Vorliegend ist einzuräumen, dass die im Schreiben vom 8. November 2006 enthaltene Schilderung des Unfallhergangs als detaillierte Ergänzung und nicht als eigentlicher Widerspruch zur ursprünglichen Unfallmeldung gesehen werden kann. Wäre die Versicherte allerdings, als der Zahnbruch nach dem als gravierend bezeichneten Ereignis im Juli 2006 festgestellt worden war, der Auffassung gewesen, beim Anschlagen an das Wasserglas sei etwas Besonderes vorgefallen, so muss angenommen werden, dass sie dies unverzüglich (wie dies im Übrigen auch ihre Pflicht gewesen wäre) dem Versicherer gemeldet hätte. Dies hat sie indessen erst im September 2006 mit einer Kurzdarstellung des Sachverhalts getan. Insbesondere wenn die Zahnwurzel – wie vorliegend - beim Ereignis tatsächlich brach, was bereits unmittelbar nach dem Vorfall hätte festgestellt werden können, ist eine derart verspätete Meldung nicht nachvollziehbar. Daran vermag auch die fehlende Kenntnis über den weiteren Behandlungsverlauf nichts zu ändern. Auch die Verzögerung um weitere zwei Monate bis zur zweiten Stellungnahme, lässt sich damit nicht plausibel erklären. Es mag daher möglicherweise zutreffen, dass sich das Ereignis so abgespielt hat, wie dies die Beschwerdeführerin nun darlegt. Wahrscheinlich erscheint diese Darstellung unter Berücksichtigung der gesamten Umstände nicht.</w:t>
      </w:r>
    </w:p>
    <w:p>
      <w:r>
        <w:rPr>
          <w:b/>
        </w:rPr>
        <w:t>E. 3.2</w:t>
      </w:r>
    </w:p>
    <w:p>
      <w:r>
        <w:t>Die Behauptung der Beschwerdeführerin, dass die Zahnwurzel beim Anschlagen an ein Trinkglas brach, wozu es kam, weil sie beim Ausweichen vor einer offenen Küchenschranktür ins Stolpern geraten war, ist somit nicht genügend glaubhaft gemacht. Genauso wahrscheinlich ist, dass der Schaden beim blossen Anstossen mit dem Trinkglas an den Zahn, was praxisgemäss kein Unfall im Rechtssinn ist (RKUV 1996 Nr. U 243 S. 137), eingetreten ist. Da weitere Beweisabnahmen nichts zur Klärung des Sachverhalts beitragen könnten, ist darauf zu verzichten (antizipierte Beweiswürdigung: BGE 122 V 162 Erw. 1d mit Hinweisen). Somit liegt Beweislosigkeit vor, deren Folgen die Beschwerdeführerin zu tragen hat, die aus dem unbewiesen gebliebenen Sachverhalt Rechte ableiten wollte.</w:t>
      </w:r>
    </w:p>
    <w:p>
      <w:r>
        <w:rPr>
          <w:b/>
        </w:rPr>
        <w:t>E. 4</w:t>
      </w:r>
    </w:p>
    <w:p>
      <w:r>
        <w:t>Da der geltend gemachte Zahnschaden mit keiner der in Art. 9 Abs. 2 lit. a - h UVV aufgezählten Verletzungen gleichzusetzen ist, besteht auch keine Leistungspflicht wegen unfallähnlicher Körperschädigung.</w:t>
      </w:r>
    </w:p>
    <w:p>
      <w:r>
        <w:rPr>
          <w:b/>
        </w:rPr>
        <w:t>E. 5</w:t>
      </w:r>
    </w:p>
    <w:p>
      <w:r>
        <w:t>Aufgrund der vorstehenden Erwägungen ist die Beschwerde abzuweisen. Gerichtskosten sind nach Art. 61 lit. h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